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jc w:val="center"/>
        <w:ind w:right="-1120"/>
        <w:spacing w:after="0"/>
        <w:rPr>
          <w:sz w:val="20"/>
          <w:szCs w:val="20"/>
          <w:color w:val="auto"/>
        </w:rPr>
      </w:pPr>
      <w:r>
        <w:rPr>
          <w:rFonts w:ascii="Arial" w:cs="Arial" w:eastAsia="Arial" w:hAnsi="Arial"/>
          <w:sz w:val="25"/>
          <w:szCs w:val="25"/>
          <w:b w:val="1"/>
          <w:bCs w:val="1"/>
          <w:color w:val="auto"/>
        </w:rPr>
        <w:drawing>
          <wp:anchor simplePos="0" relativeHeight="251657728" behindDoc="1" locked="0" layoutInCell="0" allowOverlap="1">
            <wp:simplePos x="0" y="0"/>
            <wp:positionH relativeFrom="page">
              <wp:posOffset>208280</wp:posOffset>
            </wp:positionH>
            <wp:positionV relativeFrom="page">
              <wp:posOffset>157480</wp:posOffset>
            </wp:positionV>
            <wp:extent cx="7132320" cy="2540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7132320" cy="25400"/>
                    </a:xfrm>
                    <a:prstGeom prst="rect">
                      <a:avLst/>
                    </a:prstGeom>
                    <a:noFill/>
                  </pic:spPr>
                </pic:pic>
              </a:graphicData>
            </a:graphic>
          </wp:anchor>
        </w:drawing>
        <w:drawing>
          <wp:anchor simplePos="0" relativeHeight="251657728" behindDoc="1" locked="0" layoutInCell="0" allowOverlap="1">
            <wp:simplePos x="0" y="0"/>
            <wp:positionH relativeFrom="page">
              <wp:posOffset>208280</wp:posOffset>
            </wp:positionH>
            <wp:positionV relativeFrom="page">
              <wp:posOffset>191770</wp:posOffset>
            </wp:positionV>
            <wp:extent cx="7132320" cy="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7132320" cy="8890"/>
                    </a:xfrm>
                    <a:prstGeom prst="rect">
                      <a:avLst/>
                    </a:prstGeom>
                    <a:noFill/>
                  </pic:spPr>
                </pic:pic>
              </a:graphicData>
            </a:graphic>
          </wp:anchor>
        </w:drawing>
        <w:t>UNITED STATES</w:t>
      </w:r>
    </w:p>
    <w:p>
      <w:pPr>
        <w:spacing w:after="0" w:line="38" w:lineRule="exact"/>
        <w:rPr>
          <w:sz w:val="24"/>
          <w:szCs w:val="24"/>
          <w:color w:val="auto"/>
        </w:rPr>
      </w:pPr>
    </w:p>
    <w:p>
      <w:pPr>
        <w:jc w:val="center"/>
        <w:ind w:right="-1120"/>
        <w:spacing w:after="0"/>
        <w:rPr>
          <w:sz w:val="20"/>
          <w:szCs w:val="20"/>
          <w:color w:val="auto"/>
        </w:rPr>
      </w:pPr>
      <w:r>
        <w:rPr>
          <w:rFonts w:ascii="Arial" w:cs="Arial" w:eastAsia="Arial" w:hAnsi="Arial"/>
          <w:sz w:val="25"/>
          <w:szCs w:val="25"/>
          <w:b w:val="1"/>
          <w:bCs w:val="1"/>
          <w:color w:val="auto"/>
        </w:rPr>
        <w:t>SECURITIES AND EXCHANGE COMMISSION</w:t>
      </w:r>
    </w:p>
    <w:p>
      <w:pPr>
        <w:spacing w:after="0" w:line="10" w:lineRule="exact"/>
        <w:rPr>
          <w:sz w:val="24"/>
          <w:szCs w:val="24"/>
          <w:color w:val="auto"/>
        </w:rPr>
      </w:pPr>
    </w:p>
    <w:p>
      <w:pPr>
        <w:jc w:val="center"/>
        <w:ind w:right="-1120"/>
        <w:spacing w:after="0"/>
        <w:rPr>
          <w:sz w:val="20"/>
          <w:szCs w:val="20"/>
          <w:color w:val="auto"/>
        </w:rPr>
      </w:pPr>
      <w:r>
        <w:rPr>
          <w:rFonts w:ascii="Arial" w:cs="Arial" w:eastAsia="Arial" w:hAnsi="Arial"/>
          <w:sz w:val="25"/>
          <w:szCs w:val="25"/>
          <w:b w:val="1"/>
          <w:bCs w:val="1"/>
          <w:color w:val="auto"/>
        </w:rPr>
        <w:t>Washington, D.C. 20549</w:t>
      </w:r>
    </w:p>
    <w:p>
      <w:pPr>
        <w:spacing w:after="0" w:line="198" w:lineRule="exact"/>
        <w:rPr>
          <w:sz w:val="24"/>
          <w:szCs w:val="24"/>
          <w:color w:val="auto"/>
        </w:rPr>
      </w:pPr>
    </w:p>
    <w:p>
      <w:pPr>
        <w:ind w:left="5000"/>
        <w:spacing w:after="0"/>
        <w:rPr>
          <w:sz w:val="20"/>
          <w:szCs w:val="20"/>
          <w:color w:val="auto"/>
        </w:rPr>
      </w:pPr>
      <w:r>
        <w:rPr>
          <w:rFonts w:ascii="Arial" w:cs="Arial" w:eastAsia="Arial" w:hAnsi="Arial"/>
          <w:sz w:val="25"/>
          <w:szCs w:val="25"/>
          <w:b w:val="1"/>
          <w:bCs w:val="1"/>
          <w:color w:val="auto"/>
        </w:rPr>
        <w:t>FORM 6-K</w:t>
      </w:r>
    </w:p>
    <w:p>
      <w:pPr>
        <w:spacing w:after="0" w:line="200" w:lineRule="exact"/>
        <w:rPr>
          <w:sz w:val="24"/>
          <w:szCs w:val="24"/>
          <w:color w:val="auto"/>
        </w:rPr>
      </w:pPr>
    </w:p>
    <w:p>
      <w:pPr>
        <w:spacing w:after="0" w:line="250"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REPORT OF FOREIGN PRIVATE ISSUER</w:t>
      </w:r>
    </w:p>
    <w:p>
      <w:pPr>
        <w:spacing w:after="0" w:line="23"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PURSUANT TO RULE 13a-16 OR 15d-16 UNDER THE</w:t>
      </w:r>
    </w:p>
    <w:p>
      <w:pPr>
        <w:spacing w:after="0" w:line="9"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SECURITIES EXCHANGE ACT OF 1934</w:t>
      </w:r>
    </w:p>
    <w:p>
      <w:pPr>
        <w:spacing w:after="0" w:line="200" w:lineRule="exact"/>
        <w:rPr>
          <w:sz w:val="24"/>
          <w:szCs w:val="24"/>
          <w:color w:val="auto"/>
        </w:rPr>
      </w:pPr>
    </w:p>
    <w:p>
      <w:pPr>
        <w:spacing w:after="0" w:line="227"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For the month of June, 2020</w:t>
      </w:r>
    </w:p>
    <w:p>
      <w:pPr>
        <w:spacing w:after="0" w:line="225" w:lineRule="exact"/>
        <w:rPr>
          <w:sz w:val="24"/>
          <w:szCs w:val="24"/>
          <w:color w:val="auto"/>
        </w:rPr>
      </w:pPr>
    </w:p>
    <w:p>
      <w:pPr>
        <w:ind w:left="4380"/>
        <w:spacing w:after="0"/>
        <w:rPr>
          <w:sz w:val="20"/>
          <w:szCs w:val="20"/>
          <w:color w:val="auto"/>
        </w:rPr>
      </w:pPr>
      <w:r>
        <w:rPr>
          <w:rFonts w:ascii="Arial" w:cs="Arial" w:eastAsia="Arial" w:hAnsi="Arial"/>
          <w:sz w:val="18"/>
          <w:szCs w:val="18"/>
          <w:color w:val="auto"/>
        </w:rPr>
        <w:t>Commission File Number 1-11414</w:t>
      </w:r>
    </w:p>
    <w:p>
      <w:pPr>
        <w:spacing w:after="0" w:line="200" w:lineRule="exact"/>
        <w:rPr>
          <w:sz w:val="24"/>
          <w:szCs w:val="24"/>
          <w:color w:val="auto"/>
        </w:rPr>
      </w:pPr>
    </w:p>
    <w:p>
      <w:pPr>
        <w:spacing w:after="0" w:line="232" w:lineRule="exact"/>
        <w:rPr>
          <w:sz w:val="24"/>
          <w:szCs w:val="24"/>
          <w:color w:val="auto"/>
        </w:rPr>
      </w:pPr>
    </w:p>
    <w:p>
      <w:pPr>
        <w:jc w:val="center"/>
        <w:ind w:right="-1120"/>
        <w:spacing w:after="0"/>
        <w:rPr>
          <w:sz w:val="20"/>
          <w:szCs w:val="20"/>
          <w:color w:val="auto"/>
        </w:rPr>
      </w:pPr>
      <w:r>
        <w:rPr>
          <w:rFonts w:ascii="Arial" w:cs="Arial" w:eastAsia="Arial" w:hAnsi="Arial"/>
          <w:sz w:val="25"/>
          <w:szCs w:val="25"/>
          <w:b w:val="1"/>
          <w:bCs w:val="1"/>
          <w:color w:val="auto"/>
        </w:rPr>
        <w:t>BANCO LATINOAMERICANO DE COMERCIO EXTERIOR, S.A.</w:t>
      </w:r>
    </w:p>
    <w:p>
      <w:pPr>
        <w:spacing w:after="0" w:line="34"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(Exact name of Registrant as specified in its Charter)</w:t>
      </w:r>
    </w:p>
    <w:p>
      <w:pPr>
        <w:spacing w:after="0" w:line="200" w:lineRule="exact"/>
        <w:rPr>
          <w:sz w:val="24"/>
          <w:szCs w:val="24"/>
          <w:color w:val="auto"/>
        </w:rPr>
      </w:pPr>
    </w:p>
    <w:p>
      <w:pPr>
        <w:jc w:val="center"/>
        <w:ind w:right="-1120"/>
        <w:spacing w:after="0"/>
        <w:rPr>
          <w:sz w:val="20"/>
          <w:szCs w:val="20"/>
          <w:color w:val="auto"/>
        </w:rPr>
      </w:pPr>
      <w:r>
        <w:rPr>
          <w:rFonts w:ascii="Arial" w:cs="Arial" w:eastAsia="Arial" w:hAnsi="Arial"/>
          <w:sz w:val="25"/>
          <w:szCs w:val="25"/>
          <w:b w:val="1"/>
          <w:bCs w:val="1"/>
          <w:color w:val="auto"/>
        </w:rPr>
        <w:t>FOREIGN TRADE BANK OF LATIN AMERICA, INC.</w:t>
      </w:r>
    </w:p>
    <w:p>
      <w:pPr>
        <w:spacing w:after="0" w:line="34" w:lineRule="exact"/>
        <w:rPr>
          <w:sz w:val="24"/>
          <w:szCs w:val="24"/>
          <w:color w:val="auto"/>
        </w:rPr>
      </w:pPr>
    </w:p>
    <w:p>
      <w:pPr>
        <w:ind w:left="3940"/>
        <w:spacing w:after="0"/>
        <w:rPr>
          <w:sz w:val="20"/>
          <w:szCs w:val="20"/>
          <w:color w:val="auto"/>
        </w:rPr>
      </w:pPr>
      <w:r>
        <w:rPr>
          <w:rFonts w:ascii="Arial" w:cs="Arial" w:eastAsia="Arial" w:hAnsi="Arial"/>
          <w:sz w:val="18"/>
          <w:szCs w:val="18"/>
          <w:color w:val="auto"/>
        </w:rPr>
        <w:t>(Translation of Registrant’s name into English)</w:t>
      </w:r>
    </w:p>
    <w:p>
      <w:pPr>
        <w:spacing w:after="0" w:line="200" w:lineRule="exact"/>
        <w:rPr>
          <w:sz w:val="24"/>
          <w:szCs w:val="24"/>
          <w:color w:val="auto"/>
        </w:rPr>
      </w:pPr>
    </w:p>
    <w:p>
      <w:pPr>
        <w:spacing w:after="0" w:line="225"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Business Park Torre V, Ave. La Rotonda, Costa del Este</w:t>
      </w:r>
    </w:p>
    <w:p>
      <w:pPr>
        <w:spacing w:after="0" w:line="23"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P.O. Box 0819-08730</w:t>
      </w:r>
    </w:p>
    <w:p>
      <w:pPr>
        <w:spacing w:after="0" w:line="9"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Panama City, Republic of Panama</w:t>
      </w:r>
    </w:p>
    <w:p>
      <w:pPr>
        <w:spacing w:after="0" w:line="9"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(Address of Registrant’s Principal Executive Offices)</w:t>
      </w:r>
    </w:p>
    <w:p>
      <w:pPr>
        <w:spacing w:after="0" w:line="200" w:lineRule="exact"/>
        <w:rPr>
          <w:sz w:val="24"/>
          <w:szCs w:val="24"/>
          <w:color w:val="auto"/>
        </w:rPr>
      </w:pPr>
    </w:p>
    <w:p>
      <w:pPr>
        <w:spacing w:after="0" w:line="227" w:lineRule="exact"/>
        <w:rPr>
          <w:sz w:val="24"/>
          <w:szCs w:val="24"/>
          <w:color w:val="auto"/>
        </w:rPr>
      </w:pPr>
    </w:p>
    <w:p>
      <w:pPr>
        <w:spacing w:after="0"/>
        <w:rPr>
          <w:sz w:val="20"/>
          <w:szCs w:val="20"/>
          <w:color w:val="auto"/>
        </w:rPr>
      </w:pPr>
      <w:r>
        <w:rPr>
          <w:rFonts w:ascii="Arial" w:cs="Arial" w:eastAsia="Arial" w:hAnsi="Arial"/>
          <w:sz w:val="18"/>
          <w:szCs w:val="18"/>
          <w:color w:val="auto"/>
        </w:rPr>
        <w:t>Indicate by check mark whether the registrant files or will file annual reports under cover of Form 20-F or Form 40-F.</w:t>
      </w:r>
    </w:p>
    <w:p>
      <w:pPr>
        <w:spacing w:after="0" w:line="192" w:lineRule="exact"/>
        <w:rPr>
          <w:sz w:val="24"/>
          <w:szCs w:val="24"/>
          <w:color w:val="auto"/>
        </w:rPr>
      </w:pPr>
    </w:p>
    <w:p>
      <w:pPr>
        <w:ind w:left="4420"/>
        <w:spacing w:after="0" w:line="207" w:lineRule="exact"/>
        <w:tabs>
          <w:tab w:leader="none" w:pos="5820" w:val="left"/>
        </w:tabs>
        <w:rPr>
          <w:sz w:val="20"/>
          <w:szCs w:val="20"/>
          <w:color w:val="auto"/>
        </w:rPr>
      </w:pPr>
      <w:r>
        <w:rPr>
          <w:rFonts w:ascii="Arial" w:cs="Arial" w:eastAsia="Arial" w:hAnsi="Arial"/>
          <w:sz w:val="18"/>
          <w:szCs w:val="18"/>
          <w:color w:val="auto"/>
        </w:rPr>
        <w:t xml:space="preserve">Form 20-F </w:t>
      </w:r>
      <w:r>
        <w:rPr>
          <w:rFonts w:ascii="MS PGothic" w:cs="MS PGothic" w:eastAsia="MS PGothic" w:hAnsi="MS PGothic"/>
          <w:sz w:val="18"/>
          <w:szCs w:val="18"/>
          <w:color w:val="auto"/>
        </w:rPr>
        <w:t>☒</w:t>
      </w:r>
      <w:r>
        <w:rPr>
          <w:sz w:val="20"/>
          <w:szCs w:val="20"/>
          <w:color w:val="auto"/>
        </w:rPr>
        <w:tab/>
      </w:r>
      <w:r>
        <w:rPr>
          <w:rFonts w:ascii="Arial" w:cs="Arial" w:eastAsia="Arial" w:hAnsi="Arial"/>
          <w:sz w:val="16"/>
          <w:szCs w:val="16"/>
          <w:color w:val="auto"/>
        </w:rPr>
        <w:t xml:space="preserve">Form 40-F </w:t>
      </w:r>
      <w:r>
        <w:rPr>
          <w:rFonts w:ascii="MS PGothic" w:cs="MS PGothic" w:eastAsia="MS PGothic" w:hAnsi="MS PGothic"/>
          <w:sz w:val="16"/>
          <w:szCs w:val="16"/>
          <w:color w:val="auto"/>
        </w:rPr>
        <w:t>☐</w:t>
      </w:r>
    </w:p>
    <w:p>
      <w:pPr>
        <w:spacing w:after="0" w:line="258" w:lineRule="exact"/>
        <w:rPr>
          <w:sz w:val="24"/>
          <w:szCs w:val="24"/>
          <w:color w:val="auto"/>
        </w:rPr>
      </w:pPr>
    </w:p>
    <w:p>
      <w:pPr>
        <w:spacing w:after="0"/>
        <w:rPr>
          <w:sz w:val="20"/>
          <w:szCs w:val="20"/>
          <w:color w:val="auto"/>
        </w:rPr>
      </w:pPr>
      <w:r>
        <w:rPr>
          <w:rFonts w:ascii="Arial" w:cs="Arial" w:eastAsia="Arial" w:hAnsi="Arial"/>
          <w:sz w:val="17"/>
          <w:szCs w:val="17"/>
          <w:color w:val="auto"/>
        </w:rPr>
        <w:t>Indicate by check mark if the registrant is submitting the Form 6-K in paper as permitted by Regulation S-T Rule 101(b)(1):</w:t>
      </w:r>
    </w:p>
    <w:p>
      <w:pPr>
        <w:spacing w:after="0" w:line="204" w:lineRule="exact"/>
        <w:rPr>
          <w:sz w:val="24"/>
          <w:szCs w:val="24"/>
          <w:color w:val="auto"/>
        </w:rPr>
      </w:pPr>
    </w:p>
    <w:p>
      <w:pPr>
        <w:ind w:left="4960"/>
        <w:spacing w:after="0" w:line="207" w:lineRule="exact"/>
        <w:tabs>
          <w:tab w:leader="none" w:pos="5840" w:val="left"/>
        </w:tabs>
        <w:rPr>
          <w:sz w:val="20"/>
          <w:szCs w:val="20"/>
          <w:color w:val="auto"/>
        </w:rPr>
      </w:pPr>
      <w:r>
        <w:rPr>
          <w:rFonts w:ascii="Arial" w:cs="Arial" w:eastAsia="Arial" w:hAnsi="Arial"/>
          <w:sz w:val="18"/>
          <w:szCs w:val="18"/>
          <w:color w:val="auto"/>
        </w:rPr>
        <w:t xml:space="preserve">Yes </w:t>
      </w:r>
      <w:r>
        <w:rPr>
          <w:rFonts w:ascii="MS PGothic" w:cs="MS PGothic" w:eastAsia="MS PGothic" w:hAnsi="MS PGothic"/>
          <w:sz w:val="18"/>
          <w:szCs w:val="18"/>
          <w:color w:val="auto"/>
        </w:rPr>
        <w:t>☐</w:t>
      </w:r>
      <w:r>
        <w:rPr>
          <w:sz w:val="20"/>
          <w:szCs w:val="20"/>
          <w:color w:val="auto"/>
        </w:rPr>
        <w:tab/>
      </w:r>
      <w:r>
        <w:rPr>
          <w:rFonts w:ascii="Arial" w:cs="Arial" w:eastAsia="Arial" w:hAnsi="Arial"/>
          <w:sz w:val="17"/>
          <w:szCs w:val="17"/>
          <w:color w:val="auto"/>
        </w:rPr>
        <w:t xml:space="preserve">No </w:t>
      </w:r>
      <w:r>
        <w:rPr>
          <w:rFonts w:ascii="MS PGothic" w:cs="MS PGothic" w:eastAsia="MS PGothic" w:hAnsi="MS PGothic"/>
          <w:sz w:val="17"/>
          <w:szCs w:val="17"/>
          <w:color w:val="auto"/>
        </w:rPr>
        <w:t>☒</w:t>
      </w:r>
    </w:p>
    <w:p>
      <w:pPr>
        <w:spacing w:after="0" w:line="258" w:lineRule="exact"/>
        <w:rPr>
          <w:sz w:val="24"/>
          <w:szCs w:val="24"/>
          <w:color w:val="auto"/>
        </w:rPr>
      </w:pPr>
    </w:p>
    <w:p>
      <w:pPr>
        <w:spacing w:after="0"/>
        <w:rPr>
          <w:sz w:val="20"/>
          <w:szCs w:val="20"/>
          <w:color w:val="auto"/>
        </w:rPr>
      </w:pPr>
      <w:r>
        <w:rPr>
          <w:rFonts w:ascii="Arial" w:cs="Arial" w:eastAsia="Arial" w:hAnsi="Arial"/>
          <w:sz w:val="17"/>
          <w:szCs w:val="17"/>
          <w:color w:val="auto"/>
        </w:rPr>
        <w:t>Indicate by check mark if the registrant is submitting the Form 6-K in paper as permitted by Regulation S-T Rule 101(b)(7):</w:t>
      </w:r>
    </w:p>
    <w:p>
      <w:pPr>
        <w:spacing w:after="0" w:line="204" w:lineRule="exact"/>
        <w:rPr>
          <w:sz w:val="24"/>
          <w:szCs w:val="24"/>
          <w:color w:val="auto"/>
        </w:rPr>
      </w:pPr>
    </w:p>
    <w:p>
      <w:pPr>
        <w:ind w:left="4920"/>
        <w:spacing w:after="0" w:line="207" w:lineRule="exact"/>
        <w:tabs>
          <w:tab w:leader="none" w:pos="5880" w:val="left"/>
        </w:tabs>
        <w:rPr>
          <w:sz w:val="20"/>
          <w:szCs w:val="20"/>
          <w:color w:val="auto"/>
        </w:rPr>
      </w:pPr>
      <w:r>
        <w:rPr>
          <w:rFonts w:ascii="Arial" w:cs="Arial" w:eastAsia="Arial" w:hAnsi="Arial"/>
          <w:sz w:val="18"/>
          <w:szCs w:val="18"/>
          <w:color w:val="auto"/>
        </w:rPr>
        <w:t xml:space="preserve">Yes </w:t>
      </w:r>
      <w:r>
        <w:rPr>
          <w:rFonts w:ascii="MS PGothic" w:cs="MS PGothic" w:eastAsia="MS PGothic" w:hAnsi="MS PGothic"/>
          <w:sz w:val="18"/>
          <w:szCs w:val="18"/>
          <w:color w:val="auto"/>
        </w:rPr>
        <w:t>☐</w:t>
      </w:r>
      <w:r>
        <w:rPr>
          <w:sz w:val="20"/>
          <w:szCs w:val="20"/>
          <w:color w:val="auto"/>
        </w:rPr>
        <w:tab/>
      </w:r>
      <w:r>
        <w:rPr>
          <w:rFonts w:ascii="Arial" w:cs="Arial" w:eastAsia="Arial" w:hAnsi="Arial"/>
          <w:sz w:val="16"/>
          <w:szCs w:val="16"/>
          <w:color w:val="auto"/>
        </w:rPr>
        <w:t xml:space="preserve">No </w:t>
      </w:r>
      <w:r>
        <w:rPr>
          <w:rFonts w:ascii="MS PGothic" w:cs="MS PGothic" w:eastAsia="MS PGothic" w:hAnsi="MS PGothic"/>
          <w:sz w:val="16"/>
          <w:szCs w:val="16"/>
          <w:color w:val="auto"/>
        </w:rPr>
        <w:t>☒</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5080</wp:posOffset>
            </wp:positionH>
            <wp:positionV relativeFrom="paragraph">
              <wp:posOffset>309880</wp:posOffset>
            </wp:positionV>
            <wp:extent cx="7132320" cy="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7132320" cy="8890"/>
                    </a:xfrm>
                    <a:prstGeom prst="rect">
                      <a:avLst/>
                    </a:prstGeom>
                    <a:noFill/>
                  </pic:spPr>
                </pic:pic>
              </a:graphicData>
            </a:graphic>
          </wp:anchor>
        </w:drawing>
        <w:drawing>
          <wp:anchor simplePos="0" relativeHeight="251657728" behindDoc="1" locked="0" layoutInCell="0" allowOverlap="1">
            <wp:simplePos x="0" y="0"/>
            <wp:positionH relativeFrom="column">
              <wp:posOffset>5080</wp:posOffset>
            </wp:positionH>
            <wp:positionV relativeFrom="paragraph">
              <wp:posOffset>327025</wp:posOffset>
            </wp:positionV>
            <wp:extent cx="7132320" cy="2540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extLst>
                    </a:blip>
                    <a:srcRect/>
                    <a:stretch>
                      <a:fillRect/>
                    </a:stretch>
                  </pic:blipFill>
                  <pic:spPr bwMode="auto">
                    <a:xfrm>
                      <a:off x="0" y="0"/>
                      <a:ext cx="7132320" cy="25400"/>
                    </a:xfrm>
                    <a:prstGeom prst="rect">
                      <a:avLst/>
                    </a:prstGeom>
                    <a:noFill/>
                  </pic:spPr>
                </pic:pic>
              </a:graphicData>
            </a:graphic>
          </wp:anchor>
        </w:drawing>
        <w:drawing>
          <wp:anchor simplePos="0" relativeHeight="251657728" behindDoc="1" locked="0" layoutInCell="0" allowOverlap="1">
            <wp:simplePos x="0" y="0"/>
            <wp:positionH relativeFrom="column">
              <wp:posOffset>5080</wp:posOffset>
            </wp:positionH>
            <wp:positionV relativeFrom="paragraph">
              <wp:posOffset>644525</wp:posOffset>
            </wp:positionV>
            <wp:extent cx="7132320" cy="825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0139"/>
          </w:cols>
          <w:pgMar w:left="320" w:top="508" w:right="1440" w:bottom="1440" w:gutter="0" w:footer="0" w:header="0"/>
        </w:sectPr>
      </w:pPr>
    </w:p>
    <w:bookmarkStart w:id="1" w:name="page2"/>
    <w:bookmarkEnd w:id="1"/>
    <w:p>
      <w:pPr>
        <w:jc w:val="center"/>
        <w:spacing w:after="0"/>
        <w:rPr>
          <w:sz w:val="20"/>
          <w:szCs w:val="20"/>
          <w:color w:val="auto"/>
        </w:rPr>
      </w:pPr>
      <w:r>
        <w:rPr>
          <w:rFonts w:ascii="Arial" w:cs="Arial" w:eastAsia="Arial" w:hAnsi="Arial"/>
          <w:sz w:val="18"/>
          <w:szCs w:val="18"/>
          <w:b w:val="1"/>
          <w:bCs w:val="1"/>
          <w:color w:val="auto"/>
        </w:rPr>
        <w:t>SIGNATURES</w:t>
      </w:r>
    </w:p>
    <w:p>
      <w:pPr>
        <w:spacing w:after="0" w:line="229" w:lineRule="exact"/>
        <w:rPr>
          <w:sz w:val="20"/>
          <w:szCs w:val="20"/>
          <w:color w:val="auto"/>
        </w:rPr>
      </w:pPr>
    </w:p>
    <w:p>
      <w:pPr>
        <w:ind w:firstLine="648"/>
        <w:spacing w:after="0" w:line="277" w:lineRule="auto"/>
        <w:rPr>
          <w:sz w:val="20"/>
          <w:szCs w:val="20"/>
          <w:color w:val="auto"/>
        </w:rPr>
      </w:pPr>
      <w:r>
        <w:rPr>
          <w:rFonts w:ascii="Arial" w:cs="Arial" w:eastAsia="Arial" w:hAnsi="Arial"/>
          <w:sz w:val="18"/>
          <w:szCs w:val="18"/>
          <w:color w:val="auto"/>
        </w:rPr>
        <w:t>Pursuant to the requirements of the Securities Exchange Act of 1934, the registrant has duly caused this report to be signed on its behalf by the undersigned, thereunto duly authorized.</w:t>
      </w:r>
    </w:p>
    <w:p>
      <w:pPr>
        <w:spacing w:after="0" w:line="386" w:lineRule="exact"/>
        <w:rPr>
          <w:sz w:val="20"/>
          <w:szCs w:val="20"/>
          <w:color w:val="auto"/>
        </w:rPr>
      </w:pPr>
    </w:p>
    <w:p>
      <w:pPr>
        <w:spacing w:after="0"/>
        <w:rPr>
          <w:sz w:val="20"/>
          <w:szCs w:val="20"/>
          <w:color w:val="auto"/>
        </w:rPr>
      </w:pPr>
      <w:r>
        <w:rPr>
          <w:rFonts w:ascii="Arial" w:cs="Arial" w:eastAsia="Arial" w:hAnsi="Arial"/>
          <w:sz w:val="18"/>
          <w:szCs w:val="18"/>
          <w:color w:val="auto"/>
        </w:rPr>
        <w:t>Date: June 23, 2020</w:t>
      </w:r>
    </w:p>
    <w:p>
      <w:pPr>
        <w:spacing w:after="0" w:line="23" w:lineRule="exact"/>
        <w:rPr>
          <w:sz w:val="20"/>
          <w:szCs w:val="20"/>
          <w:color w:val="auto"/>
        </w:rPr>
      </w:pPr>
    </w:p>
    <w:p>
      <w:pPr>
        <w:ind w:left="5640"/>
        <w:spacing w:after="0"/>
        <w:rPr>
          <w:sz w:val="20"/>
          <w:szCs w:val="20"/>
          <w:color w:val="auto"/>
        </w:rPr>
      </w:pPr>
      <w:r>
        <w:rPr>
          <w:rFonts w:ascii="Arial" w:cs="Arial" w:eastAsia="Arial" w:hAnsi="Arial"/>
          <w:sz w:val="18"/>
          <w:szCs w:val="18"/>
          <w:color w:val="auto"/>
        </w:rPr>
        <w:t>FOREIGN TRADE BANK OF LATIN AMERICA, INC.</w:t>
      </w:r>
    </w:p>
    <w:p>
      <w:pPr>
        <w:spacing w:after="0" w:line="9" w:lineRule="exact"/>
        <w:rPr>
          <w:sz w:val="20"/>
          <w:szCs w:val="20"/>
          <w:color w:val="auto"/>
        </w:rPr>
      </w:pPr>
    </w:p>
    <w:p>
      <w:pPr>
        <w:ind w:left="5640"/>
        <w:spacing w:after="0"/>
        <w:rPr>
          <w:sz w:val="20"/>
          <w:szCs w:val="20"/>
          <w:color w:val="auto"/>
        </w:rPr>
      </w:pPr>
      <w:r>
        <w:rPr>
          <w:rFonts w:ascii="Arial" w:cs="Arial" w:eastAsia="Arial" w:hAnsi="Arial"/>
          <w:sz w:val="18"/>
          <w:szCs w:val="18"/>
          <w:i w:val="1"/>
          <w:iCs w:val="1"/>
          <w:color w:val="auto"/>
        </w:rPr>
        <w:t>(Registrant)</w:t>
      </w:r>
    </w:p>
    <w:p>
      <w:pPr>
        <w:spacing w:after="0" w:line="200" w:lineRule="exact"/>
        <w:rPr>
          <w:sz w:val="20"/>
          <w:szCs w:val="20"/>
          <w:color w:val="auto"/>
        </w:rPr>
      </w:pPr>
    </w:p>
    <w:p>
      <w:pPr>
        <w:spacing w:after="0" w:line="227" w:lineRule="exact"/>
        <w:rPr>
          <w:sz w:val="20"/>
          <w:szCs w:val="20"/>
          <w:color w:val="auto"/>
        </w:rPr>
      </w:pPr>
    </w:p>
    <w:p>
      <w:pPr>
        <w:ind w:left="5640"/>
        <w:spacing w:after="0"/>
        <w:tabs>
          <w:tab w:leader="none" w:pos="6180" w:val="left"/>
        </w:tabs>
        <w:rPr>
          <w:sz w:val="20"/>
          <w:szCs w:val="20"/>
          <w:color w:val="auto"/>
        </w:rPr>
      </w:pPr>
      <w:r>
        <w:rPr>
          <w:rFonts w:ascii="Arial" w:cs="Arial" w:eastAsia="Arial" w:hAnsi="Arial"/>
          <w:sz w:val="18"/>
          <w:szCs w:val="18"/>
          <w:color w:val="auto"/>
        </w:rPr>
        <w:t>By:</w:t>
      </w:r>
      <w:r>
        <w:rPr>
          <w:sz w:val="20"/>
          <w:szCs w:val="20"/>
          <w:color w:val="auto"/>
        </w:rPr>
        <w:tab/>
      </w:r>
      <w:r>
        <w:rPr>
          <w:rFonts w:ascii="Arial" w:cs="Arial" w:eastAsia="Arial" w:hAnsi="Arial"/>
          <w:sz w:val="18"/>
          <w:szCs w:val="18"/>
          <w:color w:val="auto"/>
        </w:rPr>
        <w:t>/s/ Ana Graciela de Méndez</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3931285</wp:posOffset>
            </wp:positionH>
            <wp:positionV relativeFrom="paragraph">
              <wp:posOffset>23495</wp:posOffset>
            </wp:positionV>
            <wp:extent cx="3206115" cy="825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extLst>
                    </a:blip>
                    <a:srcRect/>
                    <a:stretch>
                      <a:fillRect/>
                    </a:stretch>
                  </pic:blipFill>
                  <pic:spPr bwMode="auto">
                    <a:xfrm>
                      <a:off x="0" y="0"/>
                      <a:ext cx="3206115" cy="8255"/>
                    </a:xfrm>
                    <a:prstGeom prst="rect">
                      <a:avLst/>
                    </a:prstGeom>
                    <a:noFill/>
                  </pic:spPr>
                </pic:pic>
              </a:graphicData>
            </a:graphic>
          </wp:anchor>
        </w:drawing>
      </w:r>
    </w:p>
    <w:p>
      <w:pPr>
        <w:spacing w:after="0" w:line="17" w:lineRule="exact"/>
        <w:rPr>
          <w:sz w:val="20"/>
          <w:szCs w:val="20"/>
          <w:color w:val="auto"/>
        </w:rPr>
      </w:pPr>
    </w:p>
    <w:p>
      <w:pPr>
        <w:ind w:left="5640"/>
        <w:spacing w:after="0"/>
        <w:rPr>
          <w:sz w:val="20"/>
          <w:szCs w:val="20"/>
          <w:color w:val="auto"/>
        </w:rPr>
      </w:pPr>
      <w:r>
        <w:rPr>
          <w:rFonts w:ascii="Arial" w:cs="Arial" w:eastAsia="Arial" w:hAnsi="Arial"/>
          <w:sz w:val="18"/>
          <w:szCs w:val="18"/>
          <w:color w:val="auto"/>
        </w:rPr>
        <w:t>Name: Ana Graciela de Méndez</w:t>
      </w:r>
    </w:p>
    <w:p>
      <w:pPr>
        <w:spacing w:after="0" w:line="9" w:lineRule="exact"/>
        <w:rPr>
          <w:sz w:val="20"/>
          <w:szCs w:val="20"/>
          <w:color w:val="auto"/>
        </w:rPr>
      </w:pPr>
    </w:p>
    <w:p>
      <w:pPr>
        <w:ind w:left="5640"/>
        <w:spacing w:after="0"/>
        <w:rPr>
          <w:sz w:val="20"/>
          <w:szCs w:val="20"/>
          <w:color w:val="auto"/>
        </w:rPr>
      </w:pPr>
      <w:r>
        <w:rPr>
          <w:rFonts w:ascii="Arial" w:cs="Arial" w:eastAsia="Arial" w:hAnsi="Arial"/>
          <w:sz w:val="18"/>
          <w:szCs w:val="18"/>
          <w:color w:val="auto"/>
        </w:rPr>
        <w:t>Title: CFO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434340</wp:posOffset>
            </wp:positionV>
            <wp:extent cx="7132320" cy="825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904" w:right="339" w:bottom="1440" w:gutter="0" w:footer="0" w:header="0"/>
        </w:sectPr>
      </w:pPr>
    </w:p>
    <w:bookmarkStart w:id="2" w:name="page3"/>
    <w:bookmarkEnd w:id="2"/>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2934335</wp:posOffset>
            </wp:positionH>
            <wp:positionV relativeFrom="page">
              <wp:posOffset>586105</wp:posOffset>
            </wp:positionV>
            <wp:extent cx="1714500" cy="70294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clrChange>
                        <a:clrFrom>
                          <a:srgbClr val="FFFFFF"/>
                        </a:clrFrom>
                        <a:clrTo>
                          <a:srgbClr val="FFFFFF">
                            <a:alpha val="0"/>
                          </a:srgbClr>
                        </a:clrTo>
                      </a:clrChange>
                      <a:extLst>
                        <a:ext uri="{28A0092B-C50C-407E-A947-70E740481C1C}"/>
                      </a:extLst>
                    </a:blip>
                    <a:srcRect/>
                    <a:stretch>
                      <a:fillRect/>
                    </a:stretch>
                  </pic:blipFill>
                  <pic:spPr bwMode="auto">
                    <a:xfrm>
                      <a:off x="0" y="0"/>
                      <a:ext cx="1714500" cy="70294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42" w:lineRule="exact"/>
        <w:rPr>
          <w:sz w:val="20"/>
          <w:szCs w:val="20"/>
          <w:color w:val="auto"/>
        </w:rPr>
      </w:pPr>
    </w:p>
    <w:p>
      <w:pPr>
        <w:jc w:val="center"/>
        <w:spacing w:after="0"/>
        <w:rPr>
          <w:sz w:val="20"/>
          <w:szCs w:val="20"/>
          <w:color w:val="auto"/>
        </w:rPr>
      </w:pPr>
      <w:r>
        <w:rPr>
          <w:rFonts w:ascii="Arial" w:cs="Arial" w:eastAsia="Arial" w:hAnsi="Arial"/>
          <w:sz w:val="18"/>
          <w:szCs w:val="18"/>
          <w:b w:val="1"/>
          <w:bCs w:val="1"/>
          <w:color w:val="auto"/>
        </w:rPr>
        <w:t>BLADEX ANNOUNCES RATING ACTIONS ON ITS INTERNATIONAL CREDIT RATINGS</w:t>
      </w:r>
    </w:p>
    <w:p>
      <w:pPr>
        <w:spacing w:after="0" w:line="200" w:lineRule="exact"/>
        <w:rPr>
          <w:sz w:val="20"/>
          <w:szCs w:val="20"/>
          <w:color w:val="auto"/>
        </w:rPr>
      </w:pPr>
    </w:p>
    <w:p>
      <w:pPr>
        <w:spacing w:after="0" w:line="241" w:lineRule="exact"/>
        <w:rPr>
          <w:sz w:val="20"/>
          <w:szCs w:val="20"/>
          <w:color w:val="auto"/>
        </w:rPr>
      </w:pPr>
    </w:p>
    <w:p>
      <w:pPr>
        <w:jc w:val="both"/>
        <w:spacing w:after="0" w:line="282" w:lineRule="auto"/>
        <w:rPr>
          <w:sz w:val="20"/>
          <w:szCs w:val="20"/>
          <w:color w:val="auto"/>
        </w:rPr>
      </w:pPr>
      <w:r>
        <w:rPr>
          <w:rFonts w:ascii="Arial" w:cs="Arial" w:eastAsia="Arial" w:hAnsi="Arial"/>
          <w:sz w:val="18"/>
          <w:szCs w:val="18"/>
          <w:b w:val="1"/>
          <w:bCs w:val="1"/>
          <w:color w:val="auto"/>
        </w:rPr>
        <w:t xml:space="preserve">Panama City, Republic of Panama, June 19, 2020 </w:t>
      </w:r>
      <w:r>
        <w:rPr>
          <w:rFonts w:ascii="Arial" w:cs="Arial" w:eastAsia="Arial" w:hAnsi="Arial"/>
          <w:sz w:val="18"/>
          <w:szCs w:val="18"/>
          <w:color w:val="auto"/>
        </w:rPr>
        <w:t>- Banco Latinoamericano de Comercio Exterior, S.A. (“Bladex” or the “Bank”), announces rating</w:t>
      </w:r>
      <w:r>
        <w:rPr>
          <w:rFonts w:ascii="Arial" w:cs="Arial" w:eastAsia="Arial" w:hAnsi="Arial"/>
          <w:sz w:val="18"/>
          <w:szCs w:val="18"/>
          <w:b w:val="1"/>
          <w:bCs w:val="1"/>
          <w:color w:val="auto"/>
        </w:rPr>
        <w:t xml:space="preserve"> </w:t>
      </w:r>
      <w:r>
        <w:rPr>
          <w:rFonts w:ascii="Arial" w:cs="Arial" w:eastAsia="Arial" w:hAnsi="Arial"/>
          <w:sz w:val="18"/>
          <w:szCs w:val="18"/>
          <w:color w:val="auto"/>
        </w:rPr>
        <w:t>actions on its international credit ratings by Fitch Ratings (“Fitch”) and Moody’s Investor Services (“Moody’s”).</w:t>
      </w:r>
    </w:p>
    <w:p>
      <w:pPr>
        <w:spacing w:after="0" w:line="166" w:lineRule="exact"/>
        <w:rPr>
          <w:sz w:val="20"/>
          <w:szCs w:val="20"/>
          <w:color w:val="auto"/>
        </w:rPr>
      </w:pPr>
    </w:p>
    <w:p>
      <w:pPr>
        <w:jc w:val="both"/>
        <w:ind w:right="20"/>
        <w:spacing w:after="0" w:line="277" w:lineRule="auto"/>
        <w:rPr>
          <w:sz w:val="20"/>
          <w:szCs w:val="20"/>
          <w:color w:val="auto"/>
        </w:rPr>
      </w:pPr>
      <w:r>
        <w:rPr>
          <w:rFonts w:ascii="Arial" w:cs="Arial" w:eastAsia="Arial" w:hAnsi="Arial"/>
          <w:sz w:val="18"/>
          <w:szCs w:val="18"/>
          <w:color w:val="auto"/>
        </w:rPr>
        <w:t>Fitch downgraded the Bank’s Long-Term Foreign Currency Issuer Default Rating (IDR) to 'BBB' from 'BBB+', and Short-Term IDR to 'F3' from 'F2'. The outlook on the Long-Term IDRs remains Negative.</w:t>
      </w:r>
    </w:p>
    <w:p>
      <w:pPr>
        <w:spacing w:after="0" w:line="170" w:lineRule="exact"/>
        <w:rPr>
          <w:sz w:val="20"/>
          <w:szCs w:val="20"/>
          <w:color w:val="auto"/>
        </w:rPr>
      </w:pPr>
    </w:p>
    <w:p>
      <w:pPr>
        <w:spacing w:after="0"/>
        <w:rPr>
          <w:sz w:val="20"/>
          <w:szCs w:val="20"/>
          <w:color w:val="auto"/>
        </w:rPr>
      </w:pPr>
      <w:r>
        <w:rPr>
          <w:rFonts w:ascii="Arial" w:cs="Arial" w:eastAsia="Arial" w:hAnsi="Arial"/>
          <w:sz w:val="18"/>
          <w:szCs w:val="18"/>
          <w:color w:val="auto"/>
        </w:rPr>
        <w:t>Bladex's senior unsecured debt national rating in Mexico was affirmed at ‘AAA(mex)’ for: BLADEX 19; BLADEX 20 and BLADEX 20-2.</w:t>
      </w:r>
    </w:p>
    <w:p>
      <w:pPr>
        <w:spacing w:after="0" w:line="225" w:lineRule="exact"/>
        <w:rPr>
          <w:sz w:val="20"/>
          <w:szCs w:val="20"/>
          <w:color w:val="auto"/>
        </w:rPr>
      </w:pPr>
    </w:p>
    <w:p>
      <w:pPr>
        <w:ind w:right="240"/>
        <w:spacing w:after="0" w:line="277" w:lineRule="auto"/>
        <w:rPr>
          <w:sz w:val="20"/>
          <w:szCs w:val="20"/>
          <w:color w:val="auto"/>
        </w:rPr>
      </w:pPr>
      <w:r>
        <w:rPr>
          <w:rFonts w:ascii="Arial" w:cs="Arial" w:eastAsia="Arial" w:hAnsi="Arial"/>
          <w:sz w:val="18"/>
          <w:szCs w:val="18"/>
          <w:color w:val="auto"/>
        </w:rPr>
        <w:t xml:space="preserve">For further information on Fitch’s rating action, please access its press release at: </w:t>
      </w:r>
      <w:r>
        <w:rPr>
          <w:rFonts w:ascii="Arial" w:cs="Arial" w:eastAsia="Arial" w:hAnsi="Arial"/>
          <w:sz w:val="18"/>
          <w:szCs w:val="18"/>
          <w:u w:val="single" w:color="auto"/>
          <w:color w:val="0000FF"/>
        </w:rPr>
        <w:t>https://www.fitchratings.com/research/banks/fitch-downgrades-bladex-idrs-to-bbb-f3-outlook-remains-negative-18-06-2020</w:t>
      </w:r>
    </w:p>
    <w:p>
      <w:pPr>
        <w:spacing w:after="0" w:line="170"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Furthermore, Moody’s reaffirmed all the Bank’s ratings, including its ‘Baa2/P-2’ long and short-term foreign currency deposit ratings, respectively. The outlook on the ratings was changed to stable from negative.</w:t>
      </w:r>
    </w:p>
    <w:p>
      <w:pPr>
        <w:spacing w:after="0" w:line="170" w:lineRule="exact"/>
        <w:rPr>
          <w:sz w:val="20"/>
          <w:szCs w:val="20"/>
          <w:color w:val="auto"/>
        </w:rPr>
      </w:pPr>
    </w:p>
    <w:p>
      <w:pPr>
        <w:ind w:right="240"/>
        <w:spacing w:after="0" w:line="277" w:lineRule="auto"/>
        <w:rPr>
          <w:sz w:val="20"/>
          <w:szCs w:val="20"/>
          <w:color w:val="auto"/>
        </w:rPr>
      </w:pPr>
      <w:r>
        <w:rPr>
          <w:rFonts w:ascii="Arial" w:cs="Arial" w:eastAsia="Arial" w:hAnsi="Arial"/>
          <w:sz w:val="18"/>
          <w:szCs w:val="18"/>
          <w:color w:val="auto"/>
        </w:rPr>
        <w:t xml:space="preserve">For further information on Moody’s rating action, please access its press release at: </w:t>
      </w:r>
      <w:r>
        <w:rPr>
          <w:rFonts w:ascii="Arial" w:cs="Arial" w:eastAsia="Arial" w:hAnsi="Arial"/>
          <w:sz w:val="18"/>
          <w:szCs w:val="18"/>
          <w:u w:val="single" w:color="auto"/>
          <w:color w:val="0000FF"/>
        </w:rPr>
        <w:t>https://www.moodys.com/research/Moodys-affirms-Bladexs-ratings-changes-outlook-to-stable--PR_425102</w:t>
      </w:r>
    </w:p>
    <w:p>
      <w:pPr>
        <w:spacing w:after="0" w:line="170"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Bladex, a multinational bank originally established by the central banks of Latin-American and Caribbean countries, began operations in 1979 to promote foreign trade and economic integration in the Region. The Bank, headquartered in Panama, also has offices in Argentina, Brazil, Colombia, Mexico, the United States of America, and a Representative License in Peru, supporting the regional expansion and servicing of its customer base, which includes financial institutions and corporations.</w:t>
      </w:r>
    </w:p>
    <w:p>
      <w:pPr>
        <w:spacing w:after="0" w:line="187"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Bladex is listed on the NYSE in the United States of America (NYSE: BLX), since 1992, and its shareholders include: central banks and state-owned banks and entities representing 23 Latin American countries, commercial banks and financial institutions, and institutional and retail investors through its public listing.</w:t>
      </w:r>
    </w:p>
    <w:p>
      <w:pPr>
        <w:spacing w:after="0" w:line="184" w:lineRule="exact"/>
        <w:rPr>
          <w:sz w:val="20"/>
          <w:szCs w:val="20"/>
          <w:color w:val="auto"/>
        </w:rPr>
      </w:pPr>
    </w:p>
    <w:p>
      <w:pPr>
        <w:spacing w:after="0"/>
        <w:rPr>
          <w:sz w:val="20"/>
          <w:szCs w:val="20"/>
          <w:color w:val="auto"/>
        </w:rPr>
      </w:pPr>
      <w:r>
        <w:rPr>
          <w:rFonts w:ascii="Arial" w:cs="Arial" w:eastAsia="Arial" w:hAnsi="Arial"/>
          <w:sz w:val="18"/>
          <w:szCs w:val="18"/>
          <w:color w:val="auto"/>
        </w:rPr>
        <w:t xml:space="preserve">For further information on Bladex, please access its website at </w:t>
      </w:r>
      <w:r>
        <w:rPr>
          <w:rFonts w:ascii="Arial" w:cs="Arial" w:eastAsia="Arial" w:hAnsi="Arial"/>
          <w:sz w:val="18"/>
          <w:szCs w:val="18"/>
          <w:u w:val="single" w:color="auto"/>
          <w:color w:val="0000FF"/>
        </w:rPr>
        <w:t>www.bladex.com</w:t>
      </w:r>
      <w:r>
        <w:rPr>
          <w:rFonts w:ascii="Arial" w:cs="Arial" w:eastAsia="Arial" w:hAnsi="Arial"/>
          <w:sz w:val="18"/>
          <w:szCs w:val="18"/>
          <w:color w:val="auto"/>
        </w:rPr>
        <w:t xml:space="preserve"> or contact:</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3175</wp:posOffset>
            </wp:positionH>
            <wp:positionV relativeFrom="paragraph">
              <wp:posOffset>149860</wp:posOffset>
            </wp:positionV>
            <wp:extent cx="7136130" cy="72390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extLst>
                    </a:blip>
                    <a:srcRect/>
                    <a:stretch>
                      <a:fillRect/>
                    </a:stretch>
                  </pic:blipFill>
                  <pic:spPr bwMode="auto">
                    <a:xfrm>
                      <a:off x="0" y="0"/>
                      <a:ext cx="7136130" cy="723900"/>
                    </a:xfrm>
                    <a:prstGeom prst="rect">
                      <a:avLst/>
                    </a:prstGeom>
                    <a:noFill/>
                  </pic:spPr>
                </pic:pic>
              </a:graphicData>
            </a:graphic>
          </wp:anchor>
        </w:drawing>
      </w:r>
    </w:p>
    <w:p>
      <w:pPr>
        <w:spacing w:after="0" w:line="246" w:lineRule="exact"/>
        <w:rPr>
          <w:sz w:val="20"/>
          <w:szCs w:val="20"/>
          <w:color w:val="auto"/>
        </w:rPr>
      </w:pPr>
    </w:p>
    <w:p>
      <w:pPr>
        <w:ind w:left="100"/>
        <w:spacing w:after="0"/>
        <w:rPr>
          <w:sz w:val="20"/>
          <w:szCs w:val="20"/>
          <w:color w:val="auto"/>
        </w:rPr>
      </w:pPr>
      <w:r>
        <w:rPr>
          <w:rFonts w:ascii="Arial" w:cs="Arial" w:eastAsia="Arial" w:hAnsi="Arial"/>
          <w:sz w:val="18"/>
          <w:szCs w:val="18"/>
          <w:color w:val="auto"/>
        </w:rPr>
        <w:t>Monica Cosulich - SVP, Finance and Investor Relations</w:t>
      </w:r>
    </w:p>
    <w:p>
      <w:pPr>
        <w:spacing w:after="0" w:line="23" w:lineRule="exact"/>
        <w:rPr>
          <w:sz w:val="20"/>
          <w:szCs w:val="20"/>
          <w:color w:val="auto"/>
        </w:rPr>
      </w:pPr>
    </w:p>
    <w:p>
      <w:pPr>
        <w:ind w:left="100"/>
        <w:spacing w:after="0"/>
        <w:rPr>
          <w:sz w:val="20"/>
          <w:szCs w:val="20"/>
          <w:color w:val="auto"/>
        </w:rPr>
      </w:pPr>
      <w:r>
        <w:rPr>
          <w:rFonts w:ascii="Arial" w:cs="Arial" w:eastAsia="Arial" w:hAnsi="Arial"/>
          <w:sz w:val="18"/>
          <w:szCs w:val="18"/>
          <w:color w:val="auto"/>
        </w:rPr>
        <w:t xml:space="preserve">E-mail address: </w:t>
      </w:r>
      <w:r>
        <w:rPr>
          <w:rFonts w:ascii="Arial" w:cs="Arial" w:eastAsia="Arial" w:hAnsi="Arial"/>
          <w:sz w:val="18"/>
          <w:szCs w:val="18"/>
          <w:u w:val="single" w:color="auto"/>
          <w:color w:val="0000FF"/>
        </w:rPr>
        <w:t>ir@bladex.com</w:t>
      </w:r>
      <w:r>
        <w:rPr>
          <w:rFonts w:ascii="Arial" w:cs="Arial" w:eastAsia="Arial" w:hAnsi="Arial"/>
          <w:sz w:val="18"/>
          <w:szCs w:val="18"/>
          <w:color w:val="auto"/>
        </w:rPr>
        <w:t>. Tel.: (+507) 210-8563</w:t>
      </w:r>
    </w:p>
    <w:p>
      <w:pPr>
        <w:spacing w:after="0" w:line="9" w:lineRule="exact"/>
        <w:rPr>
          <w:sz w:val="20"/>
          <w:szCs w:val="20"/>
          <w:color w:val="auto"/>
        </w:rPr>
      </w:pPr>
    </w:p>
    <w:p>
      <w:pPr>
        <w:ind w:left="100"/>
        <w:spacing w:after="0"/>
        <w:rPr>
          <w:sz w:val="20"/>
          <w:szCs w:val="20"/>
          <w:color w:val="auto"/>
        </w:rPr>
      </w:pPr>
      <w:r>
        <w:rPr>
          <w:rFonts w:ascii="Arial" w:cs="Arial" w:eastAsia="Arial" w:hAnsi="Arial"/>
          <w:sz w:val="18"/>
          <w:szCs w:val="18"/>
          <w:color w:val="auto"/>
        </w:rPr>
        <w:t>Head Office Address: Torre V, Business Park, Ave. La Rotonda, Urb. Costa del Este,</w:t>
      </w:r>
    </w:p>
    <w:p>
      <w:pPr>
        <w:spacing w:after="0" w:line="9" w:lineRule="exact"/>
        <w:rPr>
          <w:sz w:val="20"/>
          <w:szCs w:val="20"/>
          <w:color w:val="auto"/>
        </w:rPr>
      </w:pPr>
    </w:p>
    <w:p>
      <w:pPr>
        <w:ind w:left="100"/>
        <w:spacing w:after="0"/>
        <w:rPr>
          <w:sz w:val="20"/>
          <w:szCs w:val="20"/>
          <w:color w:val="auto"/>
        </w:rPr>
      </w:pPr>
      <w:r>
        <w:rPr>
          <w:rFonts w:ascii="Arial" w:cs="Arial" w:eastAsia="Arial" w:hAnsi="Arial"/>
          <w:sz w:val="18"/>
          <w:szCs w:val="18"/>
          <w:color w:val="auto"/>
        </w:rPr>
        <w:t>Panama, Republic of Panama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580390</wp:posOffset>
            </wp:positionV>
            <wp:extent cx="7132320" cy="825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sectPr>
      <w:pgSz w:w="11900" w:h="16838" w:orient="portrait"/>
      <w:cols w:equalWidth="0" w:num="1">
        <w:col w:w="11240"/>
      </w:cols>
      <w:pgMar w:left="320" w:top="1440" w:right="339"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 w:name="MS PGothic">
    <w:panose1 w:val="020B0600070205080204"/>
    <w:charset w:val="80"/>
    <w:family w:val="swiss"/>
    <w:pitch w:val="variable"/>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image" Target="media/image7.png"/><Relationship Id="rId15" Type="http://schemas.openxmlformats.org/officeDocument/2006/relationships/image" Target="media/image8.jpeg"/><Relationship Id="rId16" Type="http://schemas.openxmlformats.org/officeDocument/2006/relationships/image" Target="media/image9.png"/><Relationship Id="rId17" Type="http://schemas.openxmlformats.org/officeDocument/2006/relationships/image" Target="media/image10.pn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2020-06-23T10:04:54Z</dcterms:created>
  <dcterms:modified xsi:type="dcterms:W3CDTF">2020-06-23T10:04:54Z</dcterms:modified>
</cp:coreProperties>
</file>